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Toc521417677"/>
      <w:r>
        <w:drawing>
          <wp:inline distT="0" distB="0" distL="114300" distR="114300">
            <wp:extent cx="5271135" cy="1755140"/>
            <wp:effectExtent l="0" t="0" r="5715" b="16510"/>
            <wp:docPr id="1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jc w:val="center"/>
        <w:outlineLvl w:val="0"/>
        <w:rPr>
          <w:rFonts w:hint="eastAsia" w:eastAsiaTheme="minorEastAsia"/>
          <w:sz w:val="44"/>
          <w:szCs w:val="44"/>
          <w:lang w:val="en-US" w:eastAsia="zh-CN"/>
        </w:rPr>
      </w:pPr>
      <w:bookmarkStart w:id="1" w:name="_Toc30873"/>
      <w:r>
        <w:rPr>
          <w:rFonts w:hint="eastAsia"/>
          <w:sz w:val="44"/>
          <w:szCs w:val="44"/>
          <w:lang w:val="en-US" w:eastAsia="zh-CN"/>
        </w:rPr>
        <w:t>政府采购</w:t>
      </w:r>
      <w:r>
        <w:rPr>
          <w:rFonts w:hint="eastAsia"/>
          <w:sz w:val="44"/>
          <w:szCs w:val="44"/>
        </w:rPr>
        <w:t>网上开标操作</w:t>
      </w:r>
      <w:r>
        <w:rPr>
          <w:rFonts w:hint="eastAsia"/>
          <w:sz w:val="44"/>
          <w:szCs w:val="44"/>
          <w:lang w:val="en-US" w:eastAsia="zh-CN"/>
        </w:rPr>
        <w:t>指南</w:t>
      </w:r>
      <w:bookmarkEnd w:id="1"/>
    </w:p>
    <w:p>
      <w:pPr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（投标人）</w:t>
      </w: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sz w:val="44"/>
          <w:szCs w:val="44"/>
        </w:rPr>
      </w:pPr>
    </w:p>
    <w:p>
      <w:pPr>
        <w:jc w:val="center"/>
        <w:rPr>
          <w:rFonts w:asciiTheme="majorEastAsia" w:hAnsiTheme="majorEastAsia" w:eastAsiaTheme="majorEastAsia"/>
          <w:sz w:val="32"/>
          <w:szCs w:val="32"/>
        </w:rPr>
      </w:pPr>
      <w:r>
        <w:rPr>
          <w:rFonts w:hint="eastAsia" w:asciiTheme="majorEastAsia" w:hAnsiTheme="majorEastAsia" w:eastAsiaTheme="majorEastAsia"/>
          <w:sz w:val="32"/>
          <w:szCs w:val="32"/>
        </w:rPr>
        <w:t>202</w:t>
      </w:r>
      <w:r>
        <w:rPr>
          <w:rFonts w:hint="eastAsia" w:asciiTheme="majorEastAsia" w:hAnsiTheme="majorEastAsia" w:eastAsiaTheme="majorEastAsia"/>
          <w:sz w:val="32"/>
          <w:szCs w:val="32"/>
          <w:lang w:val="en-US" w:eastAsia="zh-CN"/>
        </w:rPr>
        <w:t>3</w:t>
      </w:r>
      <w:r>
        <w:rPr>
          <w:rFonts w:hint="eastAsia" w:asciiTheme="majorEastAsia" w:hAnsiTheme="majorEastAsia" w:eastAsiaTheme="majorEastAsia"/>
          <w:sz w:val="32"/>
          <w:szCs w:val="32"/>
        </w:rPr>
        <w:t>年</w:t>
      </w:r>
      <w:r>
        <w:rPr>
          <w:rFonts w:hint="eastAsia" w:asciiTheme="majorEastAsia" w:hAnsiTheme="majorEastAsia" w:eastAsiaTheme="majorEastAsia"/>
          <w:sz w:val="32"/>
          <w:szCs w:val="32"/>
          <w:lang w:val="en-US" w:eastAsia="zh-CN"/>
        </w:rPr>
        <w:t>2</w:t>
      </w:r>
      <w:r>
        <w:rPr>
          <w:rFonts w:hint="eastAsia" w:asciiTheme="majorEastAsia" w:hAnsiTheme="majorEastAsia" w:eastAsiaTheme="majorEastAsia"/>
          <w:sz w:val="32"/>
          <w:szCs w:val="32"/>
        </w:rPr>
        <w:t>月</w:t>
      </w: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61413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8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_Toc30873 </w:instrText>
          </w:r>
          <w:r>
            <w:fldChar w:fldCharType="separate"/>
          </w:r>
          <w:r>
            <w:rPr>
              <w:rFonts w:hint="eastAsia"/>
              <w:szCs w:val="44"/>
              <w:lang w:val="en-US" w:eastAsia="zh-CN"/>
            </w:rPr>
            <w:t>政府采购</w:t>
          </w:r>
          <w:r>
            <w:rPr>
              <w:rFonts w:hint="eastAsia"/>
              <w:szCs w:val="44"/>
            </w:rPr>
            <w:t>网上开标操作</w:t>
          </w:r>
          <w:r>
            <w:rPr>
              <w:rFonts w:hint="eastAsia"/>
              <w:szCs w:val="44"/>
              <w:lang w:val="en-US" w:eastAsia="zh-CN"/>
            </w:rPr>
            <w:t>指南</w:t>
          </w:r>
          <w:r>
            <w:tab/>
          </w:r>
          <w:r>
            <w:fldChar w:fldCharType="begin"/>
          </w:r>
          <w:r>
            <w:instrText xml:space="preserve"> PAGEREF _Toc30873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_Toc3151 </w:instrText>
          </w:r>
          <w:r>
            <w:fldChar w:fldCharType="separate"/>
          </w:r>
          <w:r>
            <w:rPr>
              <w:rFonts w:hint="eastAsia"/>
              <w:szCs w:val="28"/>
            </w:rPr>
            <w:t xml:space="preserve">一、 </w:t>
          </w:r>
          <w:r>
            <w:rPr>
              <w:rFonts w:hint="eastAsia"/>
              <w:szCs w:val="28"/>
              <w:lang w:val="en-US" w:eastAsia="zh-CN"/>
            </w:rPr>
            <w:t>使用准备</w:t>
          </w:r>
          <w:r>
            <w:tab/>
          </w:r>
          <w:r>
            <w:fldChar w:fldCharType="begin"/>
          </w:r>
          <w:r>
            <w:instrText xml:space="preserve"> PAGEREF _Toc3151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_Toc27261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kern w:val="44"/>
              <w:szCs w:val="28"/>
            </w:rPr>
            <w:t>二、 系统登录</w:t>
          </w:r>
          <w:r>
            <w:tab/>
          </w:r>
          <w:r>
            <w:fldChar w:fldCharType="begin"/>
          </w:r>
          <w:r>
            <w:instrText xml:space="preserve"> PAGEREF _Toc27261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_Toc25457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kern w:val="44"/>
              <w:szCs w:val="28"/>
            </w:rPr>
            <w:t>三、 网上开标操作</w:t>
          </w:r>
          <w:r>
            <w:tab/>
          </w:r>
          <w:r>
            <w:fldChar w:fldCharType="begin"/>
          </w:r>
          <w:r>
            <w:instrText xml:space="preserve"> PAGEREF _Toc25457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_Toc24526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3.1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项目列表页面</w:t>
          </w:r>
          <w:r>
            <w:tab/>
          </w:r>
          <w:r>
            <w:fldChar w:fldCharType="begin"/>
          </w:r>
          <w:r>
            <w:instrText xml:space="preserve"> PAGEREF _Toc24526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_Toc4088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3.2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进入开标大厅</w:t>
          </w:r>
          <w:r>
            <w:tab/>
          </w:r>
          <w:r>
            <w:fldChar w:fldCharType="begin"/>
          </w:r>
          <w:r>
            <w:instrText xml:space="preserve"> PAGEREF _Toc4088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_Toc16101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3.3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等待开标</w:t>
          </w:r>
          <w:r>
            <w:tab/>
          </w:r>
          <w:r>
            <w:fldChar w:fldCharType="begin"/>
          </w:r>
          <w:r>
            <w:instrText xml:space="preserve"> PAGEREF _Toc16101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_Toc9809 </w:instrText>
          </w:r>
          <w:r>
            <w:fldChar w:fldCharType="separate"/>
          </w:r>
          <w:r>
            <w:rPr>
              <w:rFonts w:hint="default" w:ascii="Times New Roman" w:hAnsi="Times New Roman" w:eastAsia="宋体" w:cs="Times New Roman"/>
              <w:bCs/>
              <w:szCs w:val="32"/>
            </w:rPr>
            <w:t xml:space="preserve">3.4 </w:t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查看投标人名单</w:t>
          </w:r>
          <w:r>
            <w:tab/>
          </w:r>
          <w:r>
            <w:fldChar w:fldCharType="begin"/>
          </w:r>
          <w:r>
            <w:instrText xml:space="preserve"> PAGEREF _Toc9809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_Toc15397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3.7投标人解密</w:t>
          </w:r>
          <w:r>
            <w:tab/>
          </w:r>
          <w:r>
            <w:fldChar w:fldCharType="begin"/>
          </w:r>
          <w:r>
            <w:instrText xml:space="preserve"> PAGEREF _Toc15397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_Toc23632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3.8唱标</w:t>
          </w:r>
          <w:r>
            <w:tab/>
          </w:r>
          <w:r>
            <w:fldChar w:fldCharType="begin"/>
          </w:r>
          <w:r>
            <w:instrText xml:space="preserve"> PAGEREF _Toc23632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_Toc17678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3.9语音异议</w:t>
          </w:r>
          <w:r>
            <w:tab/>
          </w:r>
          <w:r>
            <w:fldChar w:fldCharType="begin"/>
          </w:r>
          <w:r>
            <w:instrText xml:space="preserve"> PAGEREF _Toc17678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_Toc9350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3.10</w:t>
          </w:r>
          <w:r>
            <w:rPr>
              <w:rFonts w:ascii="Times New Roman" w:hAnsi="Times New Roman" w:eastAsia="宋体" w:cs="Times New Roman"/>
              <w:bCs/>
              <w:szCs w:val="32"/>
            </w:rPr>
            <w:t>唱标确认</w:t>
          </w:r>
          <w:r>
            <w:tab/>
          </w:r>
          <w:r>
            <w:fldChar w:fldCharType="begin"/>
          </w:r>
          <w:r>
            <w:instrText xml:space="preserve"> PAGEREF _Toc9350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_Toc6321 </w:instrText>
          </w:r>
          <w:r>
            <w:fldChar w:fldCharType="separate"/>
          </w:r>
          <w:r>
            <w:rPr>
              <w:rFonts w:hint="eastAsia" w:ascii="Times New Roman" w:hAnsi="Times New Roman" w:eastAsia="宋体" w:cs="Times New Roman"/>
              <w:bCs/>
              <w:szCs w:val="32"/>
            </w:rPr>
            <w:t>3.11开标结束</w:t>
          </w:r>
          <w:r>
            <w:tab/>
          </w:r>
          <w:r>
            <w:fldChar w:fldCharType="begin"/>
          </w:r>
          <w:r>
            <w:instrText xml:space="preserve"> PAGEREF _Toc6321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r>
        <w:br w:type="page"/>
      </w:r>
    </w:p>
    <w:p>
      <w:pPr>
        <w:pStyle w:val="2"/>
        <w:jc w:val="center"/>
        <w:outlineLvl w:val="9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hint="eastAsia"/>
          <w:sz w:val="28"/>
          <w:szCs w:val="28"/>
        </w:rPr>
      </w:pPr>
      <w:bookmarkStart w:id="2" w:name="_Toc18341"/>
      <w:bookmarkStart w:id="3" w:name="_Toc17237"/>
      <w:bookmarkStart w:id="4" w:name="_Toc3151"/>
      <w:r>
        <w:rPr>
          <w:rFonts w:hint="eastAsia"/>
          <w:sz w:val="28"/>
          <w:szCs w:val="28"/>
          <w:lang w:val="en-US" w:eastAsia="zh-CN"/>
        </w:rPr>
        <w:t>使用准备</w:t>
      </w:r>
      <w:bookmarkEnd w:id="2"/>
      <w:bookmarkEnd w:id="3"/>
      <w:bookmarkEnd w:id="4"/>
    </w:p>
    <w:p>
      <w:pPr>
        <w:bidi w:val="0"/>
        <w:ind w:firstLine="42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val="en-US" w:eastAsia="zh-CN"/>
          <w14:textFill>
            <w14:solidFill>
              <w14:schemeClr w14:val="tx1"/>
            </w14:solidFill>
          </w14:textFill>
        </w:rPr>
        <w:t>详见《湖南省公共资源交易中心-电子交易系统使用准备操作指南》，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登录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eastAsia="zh-CN"/>
          <w14:textFill>
            <w14:solidFill>
              <w14:schemeClr w14:val="tx1"/>
            </w14:solidFill>
          </w14:textFill>
        </w:rPr>
        <w:t>“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湖南省公共资源交易中心网站（http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val="en-US" w:eastAsia="zh-CN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14:textFill>
            <w14:solidFill>
              <w14:schemeClr w14:val="tx1"/>
            </w14:solidFill>
          </w14:textFill>
        </w:rPr>
        <w:t>://ggzy.hunan.gov.cn/）-下载中心</w:t>
      </w:r>
      <w:r>
        <w:rPr>
          <w:rFonts w:hint="eastAsia" w:asciiTheme="minorAscii" w:hAnsiTheme="minorAscii" w:eastAsiaTheme="minorEastAsia" w:cstheme="minorBidi"/>
          <w:b w:val="0"/>
          <w:bCs w:val="0"/>
          <w:color w:val="000000" w:themeColor="text1"/>
          <w:kern w:val="2"/>
          <w:sz w:val="24"/>
          <w:szCs w:val="22"/>
          <w:lang w:eastAsia="zh-CN"/>
          <w14:textFill>
            <w14:solidFill>
              <w14:schemeClr w14:val="tx1"/>
            </w14:solidFill>
          </w14:textFill>
        </w:rPr>
        <w:t>”</w:t>
      </w:r>
      <w:r>
        <w:rPr>
          <w:rStyle w:val="12"/>
          <w:rFonts w:hint="eastAsia" w:ascii="仿宋" w:hAnsi="仿宋" w:eastAsia="仿宋" w:cs="宋体"/>
          <w:color w:val="000000" w:themeColor="text1"/>
          <w:kern w:val="0"/>
          <w:szCs w:val="32"/>
          <w:lang w:val="en-US" w:eastAsia="zh-CN"/>
          <w14:textFill>
            <w14:solidFill>
              <w14:schemeClr w14:val="tx1"/>
            </w14:solidFill>
          </w14:textFill>
        </w:rPr>
        <w:t>获取。</w:t>
      </w:r>
    </w:p>
    <w:bookmarkEnd w:id="0"/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ascii="Times New Roman" w:hAnsi="Times New Roman" w:eastAsia="宋体" w:cs="Times New Roman"/>
          <w:b/>
          <w:bCs/>
          <w:kern w:val="44"/>
          <w:sz w:val="32"/>
          <w:szCs w:val="28"/>
        </w:rPr>
      </w:pPr>
      <w:bookmarkStart w:id="5" w:name="_Toc517442120"/>
      <w:bookmarkStart w:id="6" w:name="_Toc27261"/>
      <w:bookmarkStart w:id="7" w:name="_Toc521417683"/>
      <w:r>
        <w:rPr>
          <w:rFonts w:hint="eastAsia" w:ascii="Times New Roman" w:hAnsi="Times New Roman" w:eastAsia="宋体" w:cs="Times New Roman"/>
          <w:b/>
          <w:bCs/>
          <w:kern w:val="44"/>
          <w:sz w:val="32"/>
          <w:szCs w:val="28"/>
        </w:rPr>
        <w:t>系统登录</w:t>
      </w:r>
      <w:bookmarkEnd w:id="5"/>
      <w:bookmarkEnd w:id="6"/>
      <w:bookmarkEnd w:id="7"/>
    </w:p>
    <w:p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方法一：登录湖南省公共资源交易服务平台（https://hnsbenji.hnsggzy.com/#/sy）</w:t>
      </w:r>
      <w:r>
        <w:rPr>
          <w:rFonts w:ascii="Times New Roman" w:hAnsi="Times New Roman" w:eastAsia="宋体" w:cs="Times New Roman"/>
          <w:sz w:val="24"/>
          <w:szCs w:val="24"/>
        </w:rPr>
        <w:t>(可百度搜索)</w:t>
      </w:r>
      <w:r>
        <w:rPr>
          <w:rFonts w:hint="eastAsia" w:ascii="Times New Roman" w:hAnsi="Times New Roman" w:eastAsia="宋体" w:cs="Times New Roman"/>
          <w:sz w:val="24"/>
          <w:szCs w:val="24"/>
        </w:rPr>
        <w:t>，打开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开评标直播</w:t>
      </w:r>
      <w:r>
        <w:rPr>
          <w:rFonts w:hint="eastAsia" w:ascii="Times New Roman" w:hAnsi="Times New Roman" w:eastAsia="宋体" w:cs="Times New Roman"/>
          <w:sz w:val="24"/>
          <w:szCs w:val="24"/>
        </w:rPr>
        <w:t>，进入登录页面，通过CA或用户名密码登录</w:t>
      </w:r>
      <w:r>
        <w:rPr>
          <w:rFonts w:ascii="Times New Roman" w:hAnsi="Times New Roman" w:eastAsia="宋体" w:cs="Times New Roman"/>
          <w:sz w:val="24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114300" distR="114300">
            <wp:extent cx="5271135" cy="2102485"/>
            <wp:effectExtent l="0" t="0" r="5715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0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5" w:name="_GoBack"/>
      <w:bookmarkEnd w:id="25"/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2840"/>
            <wp:effectExtent l="0" t="0" r="2540" b="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360" w:firstLineChars="150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t>方法二</w:t>
      </w:r>
      <w:r>
        <w:rPr>
          <w:rFonts w:hint="eastAsia" w:ascii="Times New Roman" w:hAnsi="Times New Roman" w:eastAsia="宋体" w:cs="Times New Roman"/>
          <w:sz w:val="24"/>
          <w:szCs w:val="24"/>
        </w:rPr>
        <w:t>：登录湖南省公共资源交易中心网站（</w:t>
      </w:r>
      <w:r>
        <w:rPr>
          <w:rFonts w:ascii="Times New Roman" w:hAnsi="Times New Roman" w:eastAsia="宋体" w:cs="Times New Roman"/>
          <w:sz w:val="24"/>
          <w:szCs w:val="24"/>
        </w:rPr>
        <w:t>http://ggzy.hunan.gov.cn/</w:t>
      </w:r>
      <w:r>
        <w:rPr>
          <w:rFonts w:hint="eastAsia" w:ascii="Times New Roman" w:hAnsi="Times New Roman" w:eastAsia="宋体" w:cs="Times New Roman"/>
          <w:sz w:val="24"/>
          <w:szCs w:val="24"/>
        </w:rPr>
        <w:t>）</w:t>
      </w:r>
      <w:r>
        <w:rPr>
          <w:rFonts w:ascii="Times New Roman" w:hAnsi="Times New Roman" w:eastAsia="宋体" w:cs="Times New Roman"/>
          <w:sz w:val="24"/>
          <w:szCs w:val="24"/>
        </w:rPr>
        <w:t>(可百度搜索)</w:t>
      </w:r>
      <w:r>
        <w:rPr>
          <w:rFonts w:hint="eastAsia" w:ascii="Times New Roman" w:hAnsi="Times New Roman" w:eastAsia="宋体" w:cs="Times New Roman"/>
          <w:sz w:val="24"/>
          <w:szCs w:val="24"/>
        </w:rPr>
        <w:t>，打开网上开标，进入登录页面，通过CA、用户名密码登录</w:t>
      </w:r>
      <w:r>
        <w:rPr>
          <w:rFonts w:ascii="Times New Roman" w:hAnsi="Times New Roman" w:eastAsia="宋体" w:cs="Times New Roman"/>
          <w:sz w:val="24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4110"/>
            <wp:effectExtent l="0" t="0" r="254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4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0" distR="0">
            <wp:extent cx="5274310" cy="2402840"/>
            <wp:effectExtent l="0" t="0" r="2540" b="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 w:eastAsia="宋体" w:cs="Times New Roman"/>
          <w:sz w:val="24"/>
          <w:szCs w:val="24"/>
        </w:rPr>
        <w:t>方法三</w:t>
      </w:r>
      <w:r>
        <w:rPr>
          <w:rFonts w:hint="eastAsia" w:ascii="Times New Roman" w:hAnsi="Times New Roman" w:eastAsia="宋体" w:cs="Times New Roman"/>
          <w:sz w:val="24"/>
          <w:szCs w:val="24"/>
        </w:rPr>
        <w:t>：</w:t>
      </w:r>
      <w:r>
        <w:rPr>
          <w:rFonts w:ascii="Times New Roman" w:hAnsi="Times New Roman" w:eastAsia="宋体" w:cs="Times New Roman"/>
          <w:sz w:val="24"/>
          <w:szCs w:val="24"/>
        </w:rPr>
        <w:t>投标单位登录交易系统后</w:t>
      </w:r>
      <w:r>
        <w:rPr>
          <w:rFonts w:hint="eastAsia" w:ascii="Times New Roman" w:hAnsi="Times New Roman" w:eastAsia="宋体" w:cs="Times New Roman"/>
          <w:sz w:val="24"/>
          <w:szCs w:val="24"/>
        </w:rPr>
        <w:t>，通过“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网上开标大厅</w:t>
      </w:r>
      <w:r>
        <w:rPr>
          <w:rFonts w:hint="eastAsia" w:ascii="Times New Roman" w:hAnsi="Times New Roman" w:eastAsia="宋体" w:cs="Times New Roman"/>
          <w:sz w:val="24"/>
          <w:szCs w:val="24"/>
        </w:rPr>
        <w:t>”菜单进入网上开标系统。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 w:val="24"/>
          <w:szCs w:val="24"/>
        </w:rPr>
      </w:pPr>
      <w:r>
        <w:drawing>
          <wp:inline distT="0" distB="0" distL="114300" distR="114300">
            <wp:extent cx="5266690" cy="2290445"/>
            <wp:effectExtent l="0" t="0" r="10160" b="1460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0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</w:pPr>
      <w:r>
        <w:drawing>
          <wp:inline distT="0" distB="0" distL="0" distR="0">
            <wp:extent cx="5274310" cy="24028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color w:val="FF0000"/>
          <w:szCs w:val="24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注：投标截止时间（开标时间）前登录交易平台网上开标大厅进入对应项目，等待开标。</w:t>
      </w:r>
    </w:p>
    <w:p>
      <w:pPr>
        <w:pStyle w:val="3"/>
        <w:numPr>
          <w:ilvl w:val="0"/>
          <w:numId w:val="1"/>
        </w:numPr>
        <w:ind w:left="0" w:leftChars="0" w:firstLine="400" w:firstLineChars="0"/>
        <w:outlineLvl w:val="0"/>
        <w:rPr>
          <w:rFonts w:ascii="Times New Roman" w:hAnsi="Times New Roman" w:eastAsia="宋体" w:cs="Times New Roman"/>
          <w:b/>
          <w:bCs/>
          <w:kern w:val="44"/>
          <w:sz w:val="32"/>
          <w:szCs w:val="28"/>
        </w:rPr>
      </w:pPr>
      <w:bookmarkStart w:id="8" w:name="_Toc25457"/>
      <w:r>
        <w:rPr>
          <w:rFonts w:hint="eastAsia" w:ascii="Times New Roman" w:hAnsi="Times New Roman" w:eastAsia="宋体" w:cs="Times New Roman"/>
          <w:b/>
          <w:bCs/>
          <w:kern w:val="44"/>
          <w:sz w:val="32"/>
          <w:szCs w:val="28"/>
        </w:rPr>
        <w:t>网上开标操作</w:t>
      </w:r>
      <w:bookmarkEnd w:id="8"/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9" w:name="_Toc30633"/>
      <w:r>
        <w:rPr>
          <w:rFonts w:ascii="Times New Roman" w:hAnsi="Times New Roman" w:eastAsia="宋体" w:cs="Times New Roman"/>
          <w:b/>
          <w:bCs/>
          <w:sz w:val="30"/>
          <w:szCs w:val="32"/>
        </w:rPr>
        <w:tab/>
      </w:r>
      <w:bookmarkStart w:id="10" w:name="_Toc24526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项目列表页面</w:t>
      </w:r>
      <w:bookmarkEnd w:id="9"/>
      <w:bookmarkEnd w:id="10"/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投标人登录之后可以看到当前今日开标标段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注意：请提前进入开标大厅，待主持人在系统发起操作指令。</w:t>
      </w:r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t>1、登录系统后</w:t>
      </w:r>
      <w:r>
        <w:rPr>
          <w:rFonts w:hint="eastAsia" w:ascii="Times New Roman" w:hAnsi="Times New Roman" w:eastAsia="宋体" w:cs="Times New Roman"/>
          <w:szCs w:val="24"/>
        </w:rPr>
        <w:t>，</w:t>
      </w:r>
      <w:r>
        <w:rPr>
          <w:rFonts w:ascii="Times New Roman" w:hAnsi="Times New Roman" w:eastAsia="宋体" w:cs="Times New Roman"/>
          <w:szCs w:val="24"/>
        </w:rPr>
        <w:t>可查看</w:t>
      </w:r>
      <w:r>
        <w:rPr>
          <w:rFonts w:hint="eastAsia" w:ascii="Times New Roman" w:hAnsi="Times New Roman" w:eastAsia="宋体" w:cs="Times New Roman"/>
          <w:szCs w:val="24"/>
        </w:rPr>
        <w:t>标段开标状态，点击进入对应开标标段。右上角有“退出”按钮，点击可退出系统</w:t>
      </w:r>
      <w:r>
        <w:rPr>
          <w:rFonts w:ascii="Times New Roman" w:hAnsi="Times New Roman" w:eastAsia="宋体" w:cs="Times New Roman"/>
          <w:szCs w:val="24"/>
        </w:rPr>
        <w:t>，</w:t>
      </w:r>
      <w:r>
        <w:rPr>
          <w:rFonts w:hint="eastAsia" w:ascii="Times New Roman" w:hAnsi="Times New Roman" w:eastAsia="宋体" w:cs="Times New Roman"/>
          <w:szCs w:val="24"/>
        </w:rPr>
        <w:t>中间项目列表区域右上角可根据标段名称或者标段编号查询，</w:t>
      </w:r>
      <w:r>
        <w:rPr>
          <w:rFonts w:ascii="Times New Roman" w:hAnsi="Times New Roman" w:eastAsia="宋体" w:cs="Times New Roman"/>
          <w:szCs w:val="24"/>
        </w:rPr>
        <w:t>如下图：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34940" cy="2537460"/>
            <wp:effectExtent l="0" t="0" r="3810" b="0"/>
            <wp:docPr id="214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2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1" w:name="_Toc19354"/>
      <w:bookmarkStart w:id="12" w:name="_Toc4088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进入开标大厅</w:t>
      </w:r>
      <w:bookmarkEnd w:id="11"/>
      <w:bookmarkEnd w:id="12"/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进入页面首先阅读开标流程，以实际登录系统为准，点击“我已阅读”进入开标大厅，点击“取消”返回项目列表页面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213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2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页面上方展示基础信息、右上方有“返回”按钮，点击返回项目列表页面；</w:t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左侧中间部分是开标环节展示，不同开标过程展示不同的内容；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34940" cy="2948940"/>
            <wp:effectExtent l="0" t="0" r="3810" b="3810"/>
            <wp:docPr id="212" name="图片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21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右侧上部分为直播，直播开标场景，主持人开启直播直接即可观看；如果只能看到视频但听不到声音，刷新浏览器或者直播模式切换成主持人桌面即可。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146935"/>
            <wp:effectExtent l="0" t="0" r="254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6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右侧下部分是公告栏，主要展示阶段信息、主持人切换视频、暂停、解密等信息；点击右上角放大镜可查看更多；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34940" cy="2948940"/>
            <wp:effectExtent l="0" t="0" r="3810" b="3810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2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3" w:name="_Toc7661"/>
      <w:bookmarkStart w:id="14" w:name="_Toc16101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等待开标</w:t>
      </w:r>
      <w:bookmarkEnd w:id="13"/>
      <w:bookmarkEnd w:id="14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</w:rPr>
        <w:t>开标时间未到</w:t>
      </w:r>
      <w:r>
        <w:rPr>
          <w:rFonts w:hint="eastAsia" w:ascii="Times New Roman" w:hAnsi="Times New Roman" w:eastAsia="宋体" w:cs="Times New Roman"/>
          <w:bCs/>
          <w:szCs w:val="24"/>
          <w:lang w:eastAsia="zh-CN"/>
        </w:rPr>
        <w:t>，</w:t>
      </w:r>
      <w:r>
        <w:rPr>
          <w:rFonts w:hint="eastAsia" w:ascii="Times New Roman" w:hAnsi="Times New Roman" w:eastAsia="宋体" w:cs="Times New Roman"/>
          <w:bCs/>
          <w:szCs w:val="24"/>
        </w:rPr>
        <w:t>投标人等待开标时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可进行</w:t>
      </w:r>
      <w:r>
        <w:rPr>
          <w:rFonts w:hint="eastAsia" w:ascii="Times New Roman" w:hAnsi="Times New Roman" w:eastAsia="宋体" w:cs="Times New Roman"/>
          <w:bCs/>
          <w:szCs w:val="24"/>
        </w:rPr>
        <w:t>签到，等候开标</w:t>
      </w:r>
      <w:r>
        <w:rPr>
          <w:rFonts w:ascii="Times New Roman" w:hAnsi="Times New Roman" w:eastAsia="宋体" w:cs="Times New Roman"/>
          <w:bCs/>
          <w:szCs w:val="24"/>
        </w:rPr>
        <w:t>。</w:t>
      </w:r>
    </w:p>
    <w:p>
      <w:pPr>
        <w:spacing w:line="360" w:lineRule="auto"/>
        <w:ind w:firstLine="420" w:firstLineChars="200"/>
        <w:jc w:val="left"/>
        <w:rPr>
          <w:rFonts w:hint="default" w:ascii="Times New Roman" w:hAnsi="Times New Roman" w:eastAsia="宋体" w:cs="Times New Roman"/>
          <w:color w:val="FF0000"/>
          <w:szCs w:val="24"/>
          <w:lang w:val="en-US"/>
        </w:rPr>
      </w:pPr>
      <w:r>
        <w:rPr>
          <w:rFonts w:ascii="Times New Roman" w:hAnsi="Times New Roman" w:eastAsia="宋体" w:cs="Times New Roman"/>
          <w:color w:val="FF0000"/>
          <w:szCs w:val="24"/>
        </w:rPr>
        <w:t>注：</w:t>
      </w:r>
      <w:r>
        <w:rPr>
          <w:rFonts w:hint="eastAsia" w:ascii="Times New Roman" w:hAnsi="Times New Roman" w:eastAsia="宋体" w:cs="Times New Roman"/>
          <w:color w:val="FF0000"/>
          <w:szCs w:val="24"/>
        </w:rPr>
        <w:t xml:space="preserve"> 开标时间到了之后不能签到</w:t>
      </w: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操作，已上传投标文件的，待招标代理发起解密后即可进行解密操作。</w:t>
      </w:r>
    </w:p>
    <w:p>
      <w:pPr>
        <w:numPr>
          <w:ilvl w:val="0"/>
          <w:numId w:val="4"/>
        </w:numPr>
        <w:tabs>
          <w:tab w:val="left" w:pos="464"/>
        </w:tabs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ab/>
      </w:r>
      <w:r>
        <w:rPr>
          <w:rFonts w:hint="eastAsia" w:ascii="Times New Roman" w:hAnsi="Times New Roman" w:eastAsia="宋体" w:cs="Times New Roman"/>
          <w:szCs w:val="24"/>
        </w:rPr>
        <w:t>点击下方“签到”按钮进行签到</w:t>
      </w:r>
      <w:r>
        <w:rPr>
          <w:rFonts w:ascii="Times New Roman" w:hAnsi="Times New Roman" w:eastAsia="宋体" w:cs="Times New Roman"/>
          <w:szCs w:val="24"/>
        </w:rPr>
        <w:t>。签到成功后会在右下信息框显示</w:t>
      </w:r>
      <w:r>
        <w:rPr>
          <w:rFonts w:hint="eastAsia" w:ascii="Times New Roman" w:hAnsi="Times New Roman" w:eastAsia="宋体" w:cs="Times New Roman"/>
          <w:szCs w:val="24"/>
        </w:rPr>
        <w:t>，</w:t>
      </w:r>
      <w:r>
        <w:rPr>
          <w:rFonts w:ascii="Times New Roman" w:hAnsi="Times New Roman" w:eastAsia="宋体" w:cs="Times New Roman"/>
          <w:szCs w:val="24"/>
        </w:rPr>
        <w:t>签到情况</w:t>
      </w:r>
      <w:r>
        <w:rPr>
          <w:rFonts w:hint="eastAsia" w:ascii="Times New Roman" w:hAnsi="Times New Roman" w:eastAsia="宋体" w:cs="Times New Roman"/>
          <w:szCs w:val="24"/>
        </w:rPr>
        <w:t>。签到成功之后，按钮灰化，无需再次签到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同时第一个座位图右下角出现绿色√；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208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420" w:left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在席：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678180" cy="632460"/>
            <wp:effectExtent l="0" t="0" r="7620" b="0"/>
            <wp:docPr id="207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818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 xml:space="preserve"> 离席：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670560" cy="632460"/>
            <wp:effectExtent l="0" t="0" r="0" b="0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056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Cs w:val="24"/>
        </w:rPr>
        <w:t>，已签到：</w:t>
      </w: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1722120" cy="678180"/>
            <wp:effectExtent l="0" t="0" r="0" b="762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2212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keepNext/>
        <w:keepLines/>
        <w:numPr>
          <w:ilvl w:val="1"/>
          <w:numId w:val="2"/>
        </w:numPr>
        <w:tabs>
          <w:tab w:val="left" w:pos="567"/>
        </w:tabs>
        <w:spacing w:before="120" w:after="120" w:line="360" w:lineRule="auto"/>
        <w:ind w:firstLineChars="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5" w:name="_Toc9809"/>
      <w:bookmarkStart w:id="16" w:name="_Toc15516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查看投标人名单</w:t>
      </w:r>
      <w:bookmarkEnd w:id="15"/>
      <w:bookmarkEnd w:id="16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招标代理公布</w:t>
      </w:r>
      <w:r>
        <w:rPr>
          <w:rFonts w:hint="eastAsia" w:ascii="Times New Roman" w:hAnsi="Times New Roman" w:eastAsia="宋体" w:cs="Times New Roman"/>
          <w:bCs/>
          <w:szCs w:val="24"/>
        </w:rPr>
        <w:t>投标人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投标情况后，无需投标人操作</w:t>
      </w:r>
      <w:r>
        <w:rPr>
          <w:rFonts w:hint="eastAsia" w:ascii="Times New Roman" w:hAnsi="Times New Roman" w:eastAsia="宋体" w:cs="Times New Roman"/>
          <w:bCs/>
          <w:szCs w:val="24"/>
        </w:rPr>
        <w:t>查看投标人名单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即可</w:t>
      </w:r>
      <w:r>
        <w:rPr>
          <w:rFonts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jc w:val="left"/>
        <w:rPr>
          <w:rFonts w:hint="eastAsia"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258060"/>
            <wp:effectExtent l="0" t="0" r="254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58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left="425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7" w:name="_Toc19717"/>
      <w:bookmarkStart w:id="18" w:name="_Toc15397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3.7投标人解密</w:t>
      </w:r>
      <w:bookmarkEnd w:id="17"/>
      <w:bookmarkEnd w:id="18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招标代理</w:t>
      </w:r>
      <w:r>
        <w:rPr>
          <w:rFonts w:hint="eastAsia" w:ascii="Times New Roman" w:hAnsi="Times New Roman" w:eastAsia="宋体" w:cs="Times New Roman"/>
          <w:bCs/>
          <w:szCs w:val="24"/>
        </w:rPr>
        <w:t>开启解密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后，</w:t>
      </w:r>
      <w:r>
        <w:rPr>
          <w:rFonts w:hint="eastAsia" w:ascii="Times New Roman" w:hAnsi="Times New Roman" w:eastAsia="宋体" w:cs="Times New Roman"/>
          <w:bCs/>
          <w:szCs w:val="24"/>
        </w:rPr>
        <w:t>投标人</w:t>
      </w:r>
      <w:r>
        <w:rPr>
          <w:rFonts w:hint="eastAsia" w:ascii="Times New Roman" w:hAnsi="Times New Roman" w:eastAsia="宋体" w:cs="Times New Roman"/>
          <w:bCs/>
          <w:szCs w:val="24"/>
          <w:lang w:val="en-US" w:eastAsia="zh-CN"/>
        </w:rPr>
        <w:t>进行</w:t>
      </w:r>
      <w:r>
        <w:rPr>
          <w:rFonts w:hint="eastAsia" w:ascii="Times New Roman" w:hAnsi="Times New Roman" w:eastAsia="宋体" w:cs="Times New Roman"/>
          <w:bCs/>
          <w:szCs w:val="24"/>
        </w:rPr>
        <w:t>解密</w:t>
      </w:r>
      <w:r>
        <w:rPr>
          <w:rFonts w:hint="eastAsia" w:ascii="Times New Roman" w:hAnsi="Times New Roman" w:eastAsia="宋体" w:cs="Times New Roman"/>
          <w:bCs/>
          <w:szCs w:val="24"/>
          <w:lang w:eastAsia="zh-CN"/>
        </w:rPr>
        <w:t>。</w:t>
      </w:r>
    </w:p>
    <w:p>
      <w:pPr>
        <w:spacing w:line="360" w:lineRule="auto"/>
        <w:ind w:firstLine="420" w:firstLineChars="200"/>
        <w:jc w:val="left"/>
        <w:rPr>
          <w:rFonts w:hint="default" w:ascii="Times New Roman" w:hAnsi="Times New Roman" w:eastAsia="宋体" w:cs="Times New Roman"/>
          <w:color w:val="FF0000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Cs w:val="24"/>
        </w:rPr>
        <w:t>注：1、解密的使用的电脑必须安装新点驱动（湖南版），并且驱动检测必须检测通过才能正常解密。</w:t>
      </w: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建议使用制作投标文件的电脑进行解密，能够稳定生成投标文件说明系统驱动正常，直接用于开标，电脑系统环境相对稳定。</w:t>
      </w:r>
    </w:p>
    <w:p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color w:val="FF0000"/>
          <w:szCs w:val="24"/>
        </w:rPr>
      </w:pPr>
      <w:r>
        <w:rPr>
          <w:rFonts w:hint="eastAsia" w:ascii="Times New Roman" w:hAnsi="Times New Roman" w:eastAsia="宋体" w:cs="Times New Roman"/>
          <w:color w:val="FF0000"/>
          <w:szCs w:val="24"/>
        </w:rPr>
        <w:t>2、解密所用的CA锁必须是生成投标文件用的CA锁，否则无法解密，产生的后果投标人自行承担。</w:t>
      </w:r>
    </w:p>
    <w:p>
      <w:pPr>
        <w:numPr>
          <w:ilvl w:val="0"/>
          <w:numId w:val="5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在解密时间内插入CA锁，输入密码，进行解密；务必在规定时间内完成解密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（参与多包项目投标时，应分别进入各包进行投标文件解密）</w:t>
      </w:r>
      <w:r>
        <w:rPr>
          <w:rFonts w:hint="eastAsia" w:ascii="Times New Roman" w:hAnsi="Times New Roman" w:eastAsia="宋体" w:cs="Times New Roman"/>
          <w:szCs w:val="24"/>
        </w:rPr>
        <w:t>。解密时间已到不可解密；</w:t>
      </w:r>
      <w:r>
        <w:rPr>
          <w:rFonts w:ascii="Times New Roman" w:hAnsi="Times New Roman" w:eastAsia="宋体" w:cs="Times New Roman"/>
          <w:szCs w:val="24"/>
        </w:rPr>
        <w:t>请提前准备好CA锁</w:t>
      </w:r>
      <w:r>
        <w:rPr>
          <w:rFonts w:hint="eastAsia" w:ascii="Times New Roman" w:hAnsi="Times New Roman" w:eastAsia="宋体" w:cs="Times New Roman"/>
          <w:szCs w:val="24"/>
        </w:rPr>
        <w:t>。</w:t>
      </w:r>
    </w:p>
    <w:p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注：1.未在规定的时间内解密投标文件的，视同放弃投标。</w:t>
      </w:r>
    </w:p>
    <w:p>
      <w:pPr>
        <w:spacing w:line="360" w:lineRule="auto"/>
        <w:ind w:firstLine="840" w:firstLineChars="400"/>
        <w:jc w:val="left"/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2.解密时未使用加密时使用的CA数字证书解密文件或CA数字证书过期的，将无法完成投标文件解密。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199" name="图片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19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解密成功的单位的图标变为绿色开锁图标；当前单位只会显示</w:t>
      </w:r>
      <w:r>
        <w:rPr>
          <w:rFonts w:hint="eastAsia" w:ascii="Times New Roman" w:hAnsi="Times New Roman" w:eastAsia="宋体" w:cs="Times New Roman"/>
          <w:b/>
          <w:color w:val="FF0000"/>
          <w:sz w:val="28"/>
          <w:szCs w:val="28"/>
        </w:rPr>
        <w:t>“我的投标文件”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rPr>
          <w:rFonts w:ascii="Times New Roman" w:hAnsi="Times New Roman" w:eastAsia="宋体" w:cs="Times New Roman"/>
          <w:szCs w:val="24"/>
        </w:rPr>
        <w:drawing>
          <wp:inline distT="0" distB="0" distL="0" distR="0">
            <wp:extent cx="5242560" cy="2948940"/>
            <wp:effectExtent l="0" t="0" r="0" b="3810"/>
            <wp:docPr id="198" name="图片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图片 19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94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19" w:name="_Toc23632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3.8唱标</w:t>
      </w:r>
      <w:bookmarkEnd w:id="19"/>
    </w:p>
    <w:p>
      <w:pPr>
        <w:spacing w:line="360" w:lineRule="auto"/>
        <w:ind w:firstLine="420" w:firstLineChars="200"/>
        <w:jc w:val="left"/>
        <w:rPr>
          <w:rFonts w:hint="eastAsia"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观看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公布的信息</w:t>
      </w:r>
      <w:r>
        <w:rPr>
          <w:rFonts w:hint="eastAsia" w:ascii="Times New Roman" w:hAnsi="Times New Roman" w:eastAsia="宋体" w:cs="Times New Roman"/>
          <w:szCs w:val="24"/>
        </w:rPr>
        <w:t>，有异议可点击“开标异议语音提问”或者“开启异议文字提问”方式提出异议</w:t>
      </w:r>
      <w:r>
        <w:rPr>
          <w:rFonts w:hint="eastAsia" w:ascii="Times New Roman" w:hAnsi="Times New Roman" w:eastAsia="宋体" w:cs="Times New Roman"/>
          <w:szCs w:val="24"/>
          <w:lang w:eastAsia="zh-CN"/>
        </w:rPr>
        <w:t>，</w:t>
      </w:r>
      <w:r>
        <w:rPr>
          <w:rFonts w:hint="eastAsia" w:ascii="宋体" w:hAnsi="宋体" w:cs="宋体"/>
          <w:b w:val="0"/>
          <w:bCs/>
          <w:i w:val="0"/>
          <w:color w:val="auto"/>
          <w:sz w:val="21"/>
          <w:szCs w:val="21"/>
          <w:highlight w:val="none"/>
          <w:u w:val="none"/>
          <w:lang w:val="en-US" w:eastAsia="zh-CN"/>
        </w:rPr>
        <w:t>未提出视同无异议</w:t>
      </w:r>
      <w:r>
        <w:rPr>
          <w:rFonts w:hint="eastAsia" w:ascii="Times New Roman" w:hAnsi="Times New Roman" w:eastAsia="宋体" w:cs="Times New Roman"/>
          <w:szCs w:val="24"/>
        </w:rPr>
        <w:t>；</w:t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0" w:name="_Toc14148"/>
      <w:bookmarkStart w:id="21" w:name="_Toc17678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3.9语音异议</w:t>
      </w:r>
      <w:bookmarkEnd w:id="20"/>
      <w:bookmarkEnd w:id="21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bCs/>
          <w:szCs w:val="24"/>
        </w:rPr>
      </w:pPr>
      <w:r>
        <w:rPr>
          <w:rFonts w:ascii="Times New Roman" w:hAnsi="Times New Roman" w:eastAsia="宋体" w:cs="Times New Roman"/>
          <w:szCs w:val="24"/>
        </w:rPr>
        <w:t>公布投标人之后</w:t>
      </w:r>
      <w:r>
        <w:rPr>
          <w:rFonts w:hint="eastAsia" w:ascii="Times New Roman" w:hAnsi="Times New Roman" w:eastAsia="宋体" w:cs="Times New Roman"/>
          <w:bCs/>
          <w:szCs w:val="24"/>
        </w:rPr>
        <w:t>开标结束之前</w:t>
      </w:r>
      <w:r>
        <w:rPr>
          <w:rFonts w:ascii="Times New Roman" w:hAnsi="Times New Roman" w:eastAsia="宋体" w:cs="Times New Roman"/>
          <w:bCs/>
          <w:szCs w:val="24"/>
        </w:rPr>
        <w:t>。</w:t>
      </w:r>
      <w:r>
        <w:rPr>
          <w:rFonts w:hint="eastAsia" w:ascii="Times New Roman" w:hAnsi="Times New Roman" w:eastAsia="宋体" w:cs="Times New Roman"/>
          <w:bCs/>
          <w:szCs w:val="24"/>
        </w:rPr>
        <w:t>投标人在开标过程中可以通过语音提问给主持人提问</w:t>
      </w:r>
      <w:r>
        <w:rPr>
          <w:rFonts w:ascii="Times New Roman" w:hAnsi="Times New Roman" w:eastAsia="宋体" w:cs="Times New Roman"/>
          <w:bCs/>
          <w:szCs w:val="24"/>
        </w:rPr>
        <w:t>。</w:t>
      </w:r>
    </w:p>
    <w:p>
      <w:pPr>
        <w:numPr>
          <w:ilvl w:val="0"/>
          <w:numId w:val="6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点击“开标异议语音提问”发起语音提问申请；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37426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发起之后，按钮变为“取消当前提问”，在主持人未接通前可以取消，取消之后，或者主持人回答完毕之后可再次提问；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28917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89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2" w:name="_Toc9350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3.10</w:t>
      </w:r>
      <w:r>
        <w:rPr>
          <w:rFonts w:ascii="Times New Roman" w:hAnsi="Times New Roman" w:eastAsia="宋体" w:cs="Times New Roman"/>
          <w:b/>
          <w:bCs/>
          <w:sz w:val="30"/>
          <w:szCs w:val="32"/>
        </w:rPr>
        <w:t>唱标确认</w:t>
      </w:r>
      <w:bookmarkEnd w:id="22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唱标完成开标结束之前。投标人对唱标信息进行确认。</w:t>
      </w:r>
    </w:p>
    <w:p>
      <w:pPr>
        <w:ind w:firstLine="420"/>
        <w:rPr>
          <w:rFonts w:hint="eastAsia"/>
          <w:b/>
          <w:color w:val="FF0000"/>
        </w:rPr>
      </w:pPr>
      <w:r>
        <w:t>主持人发起唱标确认</w:t>
      </w:r>
      <w:r>
        <w:rPr>
          <w:rFonts w:hint="eastAsia"/>
        </w:rPr>
        <w:t>指令</w:t>
      </w:r>
      <w:r>
        <w:t>之后</w:t>
      </w:r>
      <w:r>
        <w:rPr>
          <w:rFonts w:hint="eastAsia"/>
        </w:rPr>
        <w:t>，</w:t>
      </w:r>
      <w:r>
        <w:t>投标人页面会弹出唱标确认提示</w:t>
      </w:r>
      <w:r>
        <w:rPr>
          <w:rFonts w:hint="eastAsia"/>
        </w:rPr>
        <w:t>，</w:t>
      </w:r>
      <w:r>
        <w:t>在倒计时结束前点击确认</w:t>
      </w:r>
      <w:r>
        <w:rPr>
          <w:rFonts w:hint="eastAsia"/>
        </w:rPr>
        <w:t>，</w:t>
      </w:r>
      <w:r>
        <w:t>如倒计时完成后未确认的</w:t>
      </w:r>
      <w:r>
        <w:rPr>
          <w:rFonts w:hint="eastAsia"/>
        </w:rPr>
        <w:t>，</w:t>
      </w:r>
      <w:r>
        <w:rPr>
          <w:rFonts w:hint="eastAsia"/>
          <w:b/>
          <w:color w:val="FF0000"/>
        </w:rPr>
        <w:t>系统设置</w:t>
      </w:r>
      <w:r>
        <w:rPr>
          <w:b/>
          <w:color w:val="FF0000"/>
        </w:rPr>
        <w:t>为</w:t>
      </w:r>
      <w:r>
        <w:rPr>
          <w:rFonts w:hint="eastAsia"/>
          <w:b/>
          <w:color w:val="FF0000"/>
        </w:rPr>
        <w:t>默认</w:t>
      </w:r>
      <w:r>
        <w:rPr>
          <w:b/>
          <w:color w:val="FF0000"/>
        </w:rPr>
        <w:t>确认</w:t>
      </w:r>
      <w:r>
        <w:rPr>
          <w:rFonts w:hint="eastAsia"/>
        </w:rPr>
        <w:t>。</w:t>
      </w:r>
      <w:r>
        <w:rPr>
          <w:rFonts w:hint="eastAsia"/>
          <w:b/>
          <w:color w:val="FF0000"/>
        </w:rPr>
        <w:t>倒计时长：5分钟。</w:t>
      </w:r>
    </w:p>
    <w:p>
      <w:pPr>
        <w:spacing w:line="360" w:lineRule="auto"/>
        <w:ind w:firstLine="420" w:firstLineChars="200"/>
        <w:jc w:val="left"/>
        <w:rPr>
          <w:rFonts w:hint="eastAsia"/>
          <w:b/>
          <w:color w:val="FF0000"/>
        </w:rPr>
      </w:pPr>
      <w:r>
        <w:rPr>
          <w:rFonts w:hint="eastAsia" w:ascii="Times New Roman" w:hAnsi="Times New Roman" w:eastAsia="宋体" w:cs="Times New Roman"/>
          <w:color w:val="FF0000"/>
          <w:szCs w:val="24"/>
          <w:lang w:val="en-US" w:eastAsia="zh-CN"/>
        </w:rPr>
        <w:t>注：招标代理发起唱标确认后，投标人应在5分钟内对唱标内容进行确认。系统弹窗提示，投标人未在5分钟内确认的，默认无异议。</w:t>
      </w:r>
    </w:p>
    <w:p>
      <w:r>
        <w:drawing>
          <wp:inline distT="0" distB="0" distL="0" distR="0">
            <wp:extent cx="5274310" cy="2381885"/>
            <wp:effectExtent l="0" t="0" r="2540" b="0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2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tabs>
          <w:tab w:val="left" w:pos="567"/>
        </w:tabs>
        <w:spacing w:before="120" w:after="120" w:line="360" w:lineRule="auto"/>
        <w:ind w:firstLine="301" w:firstLineChars="100"/>
        <w:outlineLvl w:val="1"/>
        <w:rPr>
          <w:rFonts w:ascii="Times New Roman" w:hAnsi="Times New Roman" w:eastAsia="宋体" w:cs="Times New Roman"/>
          <w:b/>
          <w:bCs/>
          <w:sz w:val="30"/>
          <w:szCs w:val="32"/>
        </w:rPr>
      </w:pPr>
      <w:bookmarkStart w:id="23" w:name="_Toc16205"/>
      <w:bookmarkStart w:id="24" w:name="_Toc6321"/>
      <w:r>
        <w:rPr>
          <w:rFonts w:hint="eastAsia" w:ascii="Times New Roman" w:hAnsi="Times New Roman" w:eastAsia="宋体" w:cs="Times New Roman"/>
          <w:b/>
          <w:bCs/>
          <w:sz w:val="30"/>
          <w:szCs w:val="32"/>
        </w:rPr>
        <w:t>3.11开标结束</w:t>
      </w:r>
      <w:bookmarkEnd w:id="23"/>
      <w:bookmarkEnd w:id="24"/>
    </w:p>
    <w:p>
      <w:pPr>
        <w:spacing w:line="360" w:lineRule="auto"/>
        <w:ind w:firstLine="420" w:firstLineChars="200"/>
        <w:jc w:val="left"/>
        <w:rPr>
          <w:rFonts w:ascii="Times New Roman" w:hAnsi="Times New Roman" w:eastAsia="宋体" w:cs="Times New Roman"/>
          <w:szCs w:val="24"/>
        </w:rPr>
      </w:pPr>
      <w:r>
        <w:rPr>
          <w:rFonts w:hint="eastAsia" w:ascii="Times New Roman" w:hAnsi="Times New Roman" w:eastAsia="宋体" w:cs="Times New Roman"/>
          <w:szCs w:val="24"/>
        </w:rPr>
        <w:t>投标单位可查看、下载开标一览表，</w:t>
      </w:r>
      <w:r>
        <w:rPr>
          <w:rFonts w:hint="eastAsia" w:ascii="Times New Roman" w:hAnsi="Times New Roman" w:eastAsia="宋体" w:cs="Times New Roman"/>
          <w:szCs w:val="24"/>
          <w:lang w:val="en-US" w:eastAsia="zh-CN"/>
        </w:rPr>
        <w:t>右上角点击返回，退出开标大厅，结束开标。</w:t>
      </w:r>
    </w:p>
    <w:p>
      <w:pPr>
        <w:spacing w:line="360" w:lineRule="auto"/>
        <w:jc w:val="left"/>
        <w:rPr>
          <w:rFonts w:ascii="Times New Roman" w:hAnsi="Times New Roman" w:eastAsia="宋体" w:cs="Times New Roman"/>
          <w:szCs w:val="24"/>
        </w:rPr>
      </w:pPr>
      <w:r>
        <w:drawing>
          <wp:inline distT="0" distB="0" distL="0" distR="0">
            <wp:extent cx="5274310" cy="2304415"/>
            <wp:effectExtent l="0" t="0" r="2540" b="635"/>
            <wp:docPr id="216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21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5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uow4KzICAABh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both"/>
      <w:rPr>
        <w:rFonts w:hint="eastAsi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1B7B88"/>
    <w:multiLevelType w:val="singleLevel"/>
    <w:tmpl w:val="811B7B88"/>
    <w:lvl w:ilvl="0" w:tentative="0">
      <w:start w:val="1"/>
      <w:numFmt w:val="decimal"/>
      <w:suff w:val="space"/>
      <w:lvlText w:val="%1、"/>
      <w:lvlJc w:val="left"/>
    </w:lvl>
  </w:abstractNum>
  <w:abstractNum w:abstractNumId="1">
    <w:nsid w:val="B8CF6A8C"/>
    <w:multiLevelType w:val="singleLevel"/>
    <w:tmpl w:val="B8CF6A8C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0579512A"/>
    <w:multiLevelType w:val="multilevel"/>
    <w:tmpl w:val="0579512A"/>
    <w:lvl w:ilvl="0" w:tentative="0">
      <w:start w:val="1"/>
      <w:numFmt w:val="chineseCounting"/>
      <w:suff w:val="nothing"/>
      <w:lvlText w:val="%1、"/>
      <w:lvlJc w:val="left"/>
      <w:pPr>
        <w:ind w:left="0" w:firstLine="400"/>
      </w:pPr>
      <w:rPr>
        <w:rFonts w:hint="eastAsia"/>
      </w:rPr>
    </w:lvl>
    <w:lvl w:ilvl="1" w:tentative="0">
      <w:start w:val="1"/>
      <w:numFmt w:val="decimal"/>
      <w:suff w:val="nothing"/>
      <w:lvlText w:val="%2．"/>
      <w:lvlJc w:val="left"/>
      <w:pPr>
        <w:ind w:left="0" w:firstLine="400"/>
      </w:pPr>
      <w:rPr>
        <w:rFonts w:hint="eastAsia"/>
      </w:rPr>
    </w:lvl>
    <w:lvl w:ilvl="2" w:tentative="0">
      <w:start w:val="1"/>
      <w:numFmt w:val="decimal"/>
      <w:suff w:val="nothing"/>
      <w:lvlText w:val="（%3）"/>
      <w:lvlJc w:val="left"/>
      <w:pPr>
        <w:ind w:left="0" w:firstLine="402"/>
      </w:pPr>
      <w:rPr>
        <w:rFonts w:hint="eastAsia"/>
      </w:rPr>
    </w:lvl>
    <w:lvl w:ilvl="3" w:tentative="0">
      <w:start w:val="1"/>
      <w:numFmt w:val="decimalEnclosedCircleChinese"/>
      <w:suff w:val="nothing"/>
      <w:lvlText w:val="%4 "/>
      <w:lvlJc w:val="left"/>
      <w:pPr>
        <w:ind w:left="0" w:firstLine="402"/>
      </w:pPr>
      <w:rPr>
        <w:rFonts w:hint="eastAsia"/>
      </w:rPr>
    </w:lvl>
    <w:lvl w:ilvl="4" w:tentative="0">
      <w:start w:val="1"/>
      <w:numFmt w:val="decimal"/>
      <w:suff w:val="nothing"/>
      <w:lvlText w:val="%5）"/>
      <w:lvlJc w:val="left"/>
      <w:pPr>
        <w:ind w:left="0" w:firstLine="402"/>
      </w:pPr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pPr>
        <w:ind w:left="0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pPr>
        <w:ind w:left="0" w:firstLine="402"/>
      </w:pPr>
      <w:rPr>
        <w:rFonts w:hint="eastAsia"/>
      </w:rPr>
    </w:lvl>
    <w:lvl w:ilvl="7" w:tentative="0">
      <w:start w:val="1"/>
      <w:numFmt w:val="lowerRoman"/>
      <w:suff w:val="nothing"/>
      <w:lvlText w:val="%8. "/>
      <w:lvlJc w:val="left"/>
      <w:pPr>
        <w:ind w:left="0" w:firstLine="402"/>
      </w:pPr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pPr>
        <w:ind w:left="0" w:firstLine="402"/>
      </w:pPr>
      <w:rPr>
        <w:rFonts w:hint="eastAsia"/>
      </w:rPr>
    </w:lvl>
  </w:abstractNum>
  <w:abstractNum w:abstractNumId="3">
    <w:nsid w:val="0FE9633F"/>
    <w:multiLevelType w:val="singleLevel"/>
    <w:tmpl w:val="0FE9633F"/>
    <w:lvl w:ilvl="0" w:tentative="0">
      <w:start w:val="1"/>
      <w:numFmt w:val="decimal"/>
      <w:suff w:val="nothing"/>
      <w:lvlText w:val="%1、"/>
      <w:lvlJc w:val="left"/>
    </w:lvl>
  </w:abstractNum>
  <w:abstractNum w:abstractNumId="4">
    <w:nsid w:val="46735E41"/>
    <w:multiLevelType w:val="multilevel"/>
    <w:tmpl w:val="46735E41"/>
    <w:lvl w:ilvl="0" w:tentative="0">
      <w:start w:val="3"/>
      <w:numFmt w:val="decimal"/>
      <w:lvlText w:val="%1"/>
      <w:lvlJc w:val="left"/>
      <w:pPr>
        <w:ind w:left="384" w:hanging="384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1145" w:hanging="72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2355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27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3565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4350" w:hanging="180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4775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5560" w:hanging="2160"/>
      </w:pPr>
      <w:rPr>
        <w:rFonts w:hint="default"/>
      </w:rPr>
    </w:lvl>
  </w:abstractNum>
  <w:abstractNum w:abstractNumId="5">
    <w:nsid w:val="4E6D15E7"/>
    <w:multiLevelType w:val="singleLevel"/>
    <w:tmpl w:val="4E6D15E7"/>
    <w:lvl w:ilvl="0" w:tentative="0">
      <w:start w:val="1"/>
      <w:numFmt w:val="decimal"/>
      <w:suff w:val="space"/>
      <w:lvlText w:val="%1、"/>
      <w:lvlJc w:val="left"/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diYzE0YzBhOTVhMjZmNmM5Y2RiZGY0MDJlMDNkZDcifQ=="/>
  </w:docVars>
  <w:rsids>
    <w:rsidRoot w:val="002141FB"/>
    <w:rsid w:val="000954E3"/>
    <w:rsid w:val="00095754"/>
    <w:rsid w:val="000A26D5"/>
    <w:rsid w:val="000E5055"/>
    <w:rsid w:val="000F6F39"/>
    <w:rsid w:val="00100CEB"/>
    <w:rsid w:val="0010436D"/>
    <w:rsid w:val="0010750C"/>
    <w:rsid w:val="00115CE3"/>
    <w:rsid w:val="00162E75"/>
    <w:rsid w:val="001853E6"/>
    <w:rsid w:val="00193585"/>
    <w:rsid w:val="001F56F9"/>
    <w:rsid w:val="00212D2D"/>
    <w:rsid w:val="002141FB"/>
    <w:rsid w:val="00232358"/>
    <w:rsid w:val="00252C3F"/>
    <w:rsid w:val="0027051D"/>
    <w:rsid w:val="00275148"/>
    <w:rsid w:val="002801EF"/>
    <w:rsid w:val="002A6B83"/>
    <w:rsid w:val="002C2048"/>
    <w:rsid w:val="002C782C"/>
    <w:rsid w:val="002F507A"/>
    <w:rsid w:val="00305D5B"/>
    <w:rsid w:val="00343F34"/>
    <w:rsid w:val="00353BE7"/>
    <w:rsid w:val="00370883"/>
    <w:rsid w:val="00392999"/>
    <w:rsid w:val="003B3D80"/>
    <w:rsid w:val="003C58B3"/>
    <w:rsid w:val="003E611C"/>
    <w:rsid w:val="00401B22"/>
    <w:rsid w:val="00424400"/>
    <w:rsid w:val="00432A5A"/>
    <w:rsid w:val="00455D7D"/>
    <w:rsid w:val="00457FA8"/>
    <w:rsid w:val="004601CF"/>
    <w:rsid w:val="00485486"/>
    <w:rsid w:val="004923E6"/>
    <w:rsid w:val="004B0222"/>
    <w:rsid w:val="004C567D"/>
    <w:rsid w:val="004D6FB3"/>
    <w:rsid w:val="004F4D56"/>
    <w:rsid w:val="00544419"/>
    <w:rsid w:val="00544D16"/>
    <w:rsid w:val="0056388E"/>
    <w:rsid w:val="0056575C"/>
    <w:rsid w:val="00571BC9"/>
    <w:rsid w:val="00597BF4"/>
    <w:rsid w:val="005A260F"/>
    <w:rsid w:val="005B738B"/>
    <w:rsid w:val="005E2EB6"/>
    <w:rsid w:val="00602AA4"/>
    <w:rsid w:val="00605514"/>
    <w:rsid w:val="00606DA4"/>
    <w:rsid w:val="006168FA"/>
    <w:rsid w:val="00617A39"/>
    <w:rsid w:val="00697B1E"/>
    <w:rsid w:val="006A7B7A"/>
    <w:rsid w:val="006E4633"/>
    <w:rsid w:val="00702D07"/>
    <w:rsid w:val="007123BA"/>
    <w:rsid w:val="00724E51"/>
    <w:rsid w:val="0073759B"/>
    <w:rsid w:val="00763D5C"/>
    <w:rsid w:val="00797449"/>
    <w:rsid w:val="007A649B"/>
    <w:rsid w:val="007B0BD9"/>
    <w:rsid w:val="007E4102"/>
    <w:rsid w:val="007F2CF3"/>
    <w:rsid w:val="008179A3"/>
    <w:rsid w:val="008359C7"/>
    <w:rsid w:val="00841F47"/>
    <w:rsid w:val="00876AA8"/>
    <w:rsid w:val="00884330"/>
    <w:rsid w:val="00891925"/>
    <w:rsid w:val="008A0406"/>
    <w:rsid w:val="008A407F"/>
    <w:rsid w:val="008C66E1"/>
    <w:rsid w:val="008D20AB"/>
    <w:rsid w:val="008D63EF"/>
    <w:rsid w:val="008F0813"/>
    <w:rsid w:val="00947CDC"/>
    <w:rsid w:val="00985FD5"/>
    <w:rsid w:val="009A7AB8"/>
    <w:rsid w:val="009B4B5A"/>
    <w:rsid w:val="009C2490"/>
    <w:rsid w:val="009C265D"/>
    <w:rsid w:val="00A11294"/>
    <w:rsid w:val="00A26AA3"/>
    <w:rsid w:val="00A671E9"/>
    <w:rsid w:val="00AA4D3F"/>
    <w:rsid w:val="00AD12C7"/>
    <w:rsid w:val="00AD3BB8"/>
    <w:rsid w:val="00B34EE7"/>
    <w:rsid w:val="00BC62CF"/>
    <w:rsid w:val="00BD2036"/>
    <w:rsid w:val="00BE74EC"/>
    <w:rsid w:val="00BF6BDD"/>
    <w:rsid w:val="00C05B14"/>
    <w:rsid w:val="00C13A10"/>
    <w:rsid w:val="00C23B3D"/>
    <w:rsid w:val="00C27B24"/>
    <w:rsid w:val="00C3053A"/>
    <w:rsid w:val="00C4502C"/>
    <w:rsid w:val="00C457D4"/>
    <w:rsid w:val="00C7297A"/>
    <w:rsid w:val="00C90241"/>
    <w:rsid w:val="00CC58B8"/>
    <w:rsid w:val="00CE612D"/>
    <w:rsid w:val="00CE7B45"/>
    <w:rsid w:val="00D23034"/>
    <w:rsid w:val="00D24BBD"/>
    <w:rsid w:val="00D349C5"/>
    <w:rsid w:val="00D350CD"/>
    <w:rsid w:val="00D45385"/>
    <w:rsid w:val="00D574CE"/>
    <w:rsid w:val="00D85C5C"/>
    <w:rsid w:val="00DB32CF"/>
    <w:rsid w:val="00DE540F"/>
    <w:rsid w:val="00E80098"/>
    <w:rsid w:val="00EB7E44"/>
    <w:rsid w:val="00EC0828"/>
    <w:rsid w:val="00EF7724"/>
    <w:rsid w:val="00FB3432"/>
    <w:rsid w:val="00FC43AC"/>
    <w:rsid w:val="00FC4AE3"/>
    <w:rsid w:val="091C09E5"/>
    <w:rsid w:val="092F61FA"/>
    <w:rsid w:val="13587054"/>
    <w:rsid w:val="13F075EF"/>
    <w:rsid w:val="173E5DE7"/>
    <w:rsid w:val="1D116479"/>
    <w:rsid w:val="20461A3D"/>
    <w:rsid w:val="21CC6AC2"/>
    <w:rsid w:val="2C6A0362"/>
    <w:rsid w:val="2C704DA3"/>
    <w:rsid w:val="36216628"/>
    <w:rsid w:val="3907267F"/>
    <w:rsid w:val="3C1D2F19"/>
    <w:rsid w:val="488167F4"/>
    <w:rsid w:val="4ABC313C"/>
    <w:rsid w:val="501F3CEE"/>
    <w:rsid w:val="57FB5D50"/>
    <w:rsid w:val="64DC4A2F"/>
    <w:rsid w:val="6D1762E3"/>
    <w:rsid w:val="6FFD1F90"/>
    <w:rsid w:val="72202C17"/>
    <w:rsid w:val="7F2C1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3"/>
    <w:basedOn w:val="1"/>
    <w:next w:val="1"/>
    <w:semiHidden/>
    <w:unhideWhenUsed/>
    <w:qFormat/>
    <w:uiPriority w:val="39"/>
    <w:pPr>
      <w:ind w:left="840" w:leftChars="400"/>
    </w:pPr>
  </w:style>
  <w:style w:type="paragraph" w:styleId="5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toc 1"/>
    <w:basedOn w:val="1"/>
    <w:next w:val="1"/>
    <w:semiHidden/>
    <w:unhideWhenUsed/>
    <w:qFormat/>
    <w:uiPriority w:val="39"/>
  </w:style>
  <w:style w:type="paragraph" w:styleId="9">
    <w:name w:val="toc 2"/>
    <w:basedOn w:val="1"/>
    <w:next w:val="1"/>
    <w:semiHidden/>
    <w:unhideWhenUsed/>
    <w:uiPriority w:val="39"/>
    <w:pPr>
      <w:ind w:left="420" w:leftChars="200"/>
    </w:pPr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批注框文本 Char"/>
    <w:basedOn w:val="11"/>
    <w:link w:val="5"/>
    <w:semiHidden/>
    <w:qFormat/>
    <w:uiPriority w:val="99"/>
    <w:rPr>
      <w:sz w:val="18"/>
      <w:szCs w:val="18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标题 1 Char"/>
    <w:basedOn w:val="11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6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7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8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12</Pages>
  <Words>1819</Words>
  <Characters>1963</Characters>
  <Lines>18</Lines>
  <Paragraphs>5</Paragraphs>
  <TotalTime>2</TotalTime>
  <ScaleCrop>false</ScaleCrop>
  <LinksUpToDate>false</LinksUpToDate>
  <CharactersWithSpaces>2108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2019-11-01T10:27:00Z</dcterms:created>
  <dc:creator>刘一 </dc:creator>
  <cp:lastModifiedBy></cp:lastModifiedBy>
  <dcterms:modified xsi:type="dcterms:W3CDTF">2023-11-27T02:49:23Z</dcterms:modified>
  <cp:revision>185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B5495780A5A345CC946F10A93805BF80</vt:lpwstr>
  </property>
</Properties>
</file>